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1"/>
        <w:gridCol w:w="3649"/>
      </w:tblGrid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777A59" w:rsidRPr="00E82BC6" w:rsidRDefault="00777A59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777A59" w:rsidRPr="00E82BC6" w:rsidRDefault="00777A59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2D3C38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u w:val="single"/>
              </w:rPr>
              <w:t xml:space="preserve"> 08 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  <w:u w:val="single"/>
              </w:rPr>
              <w:t xml:space="preserve">   10    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  <w:u w:val="single"/>
              </w:rPr>
              <w:t xml:space="preserve"> 155 </w:t>
            </w:r>
            <w:r w:rsidRPr="0085011F">
              <w:rPr>
                <w:b/>
                <w:spacing w:val="20"/>
                <w:sz w:val="28"/>
                <w:u w:val="single"/>
              </w:rPr>
              <w:t>-пг</w:t>
            </w:r>
          </w:p>
          <w:p w:rsidR="00777A59" w:rsidRDefault="00777A59" w:rsidP="00A11761">
            <w:pPr>
              <w:pStyle w:val="a"/>
              <w:jc w:val="center"/>
              <w:rPr>
                <w:i/>
                <w:spacing w:val="20"/>
                <w:sz w:val="28"/>
              </w:rPr>
            </w:pPr>
          </w:p>
          <w:p w:rsidR="00777A59" w:rsidRPr="00A830E3" w:rsidRDefault="00777A59" w:rsidP="00A11761">
            <w:pPr>
              <w:pStyle w:val="a"/>
              <w:jc w:val="center"/>
              <w:rPr>
                <w:i/>
                <w:spacing w:val="20"/>
                <w:sz w:val="28"/>
              </w:rPr>
            </w:pP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777A59" w:rsidRPr="00490DFE" w:rsidTr="00A11761">
        <w:tc>
          <w:tcPr>
            <w:tcW w:w="5000" w:type="pct"/>
            <w:gridSpan w:val="2"/>
          </w:tcPr>
          <w:p w:rsidR="00777A59" w:rsidRPr="00E82BC6" w:rsidRDefault="00777A59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</w:tc>
      </w:tr>
      <w:tr w:rsidR="00777A59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777A59" w:rsidRPr="00490DFE" w:rsidRDefault="00777A59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инвестиционной деятельности    на    территории   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Тулунского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 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района </w:t>
            </w:r>
          </w:p>
        </w:tc>
      </w:tr>
    </w:tbl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Тулунского района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22,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«Тулунский район», </w:t>
      </w: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Pr="00A11761" w:rsidRDefault="00777A59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77A59" w:rsidRPr="00A11761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Pr="00A11761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инвестиционной деятельности  на территории  Тулунского муниципального района. </w:t>
      </w: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опубликования.</w:t>
      </w:r>
    </w:p>
    <w:p w:rsidR="00777A59" w:rsidRDefault="00777A59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информационном бюллетене «Вестник Тулунского район»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района С.Н. Трус.</w:t>
      </w:r>
    </w:p>
    <w:p w:rsidR="00777A59" w:rsidRDefault="00777A5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Pr="006C30FB" w:rsidRDefault="00777A59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>Мэр Тулунского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>М. И. Гильдебрант</w:t>
      </w:r>
    </w:p>
    <w:p w:rsidR="00777A59" w:rsidRPr="00603819" w:rsidRDefault="00777A59" w:rsidP="0060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Par30"/>
      <w:bookmarkEnd w:id="0"/>
    </w:p>
    <w:p w:rsidR="00777A59" w:rsidRPr="00284FD3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Утверждено</w:t>
      </w:r>
    </w:p>
    <w:p w:rsidR="00777A59" w:rsidRPr="00284FD3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77A59" w:rsidRPr="00284FD3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777A59" w:rsidRPr="00284FD3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08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10   </w:t>
      </w:r>
      <w:smartTag w:uri="urn:schemas-microsoft-com:office:smarttags" w:element="metricconverter">
        <w:smartTagPr>
          <w:attr w:name="ProductID" w:val="2018 г"/>
        </w:smartTagPr>
        <w:r w:rsidRPr="00284FD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284FD3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155</w:t>
      </w:r>
      <w:r>
        <w:rPr>
          <w:rFonts w:ascii="Times New Roman" w:hAnsi="Times New Roman"/>
          <w:sz w:val="28"/>
          <w:szCs w:val="28"/>
        </w:rPr>
        <w:t>-пг</w:t>
      </w:r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1" w:name="Par36"/>
      <w:bookmarkEnd w:id="1"/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ТУЛУНСКОГО МУНИЦИПАЛЬНОГО РАЙОНА</w:t>
      </w:r>
    </w:p>
    <w:p w:rsidR="00777A59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777A59" w:rsidRPr="007937FB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777A59" w:rsidRPr="00284FD3" w:rsidRDefault="00777A5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Default="00777A59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Тулунского муниципального района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777A59" w:rsidRDefault="00777A59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Тулунского муниципального района.   </w:t>
      </w:r>
    </w:p>
    <w:p w:rsidR="00777A59" w:rsidRDefault="00777A59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Правовую основу настоящего Положения составляют   Конституция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777A59" w:rsidRPr="00732EFC" w:rsidRDefault="0077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A59" w:rsidRPr="00152240" w:rsidRDefault="00777A59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777A59" w:rsidRPr="002915D7" w:rsidRDefault="00777A59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Pr="00257D0E" w:rsidRDefault="00777A59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 настоящего Положения являются  повышение  инвестиционной активности в Тулунском муниципальном районе,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Тулунском муниципальном районе, совершенствование нормативно-правовой базы инвестиционной деятельности в Тулунском муниципальном районе.</w:t>
      </w:r>
    </w:p>
    <w:p w:rsidR="00777A59" w:rsidRPr="00257D0E" w:rsidRDefault="00777A59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A59" w:rsidRDefault="00777A59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777A59" w:rsidRPr="00152240" w:rsidRDefault="00777A59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A59" w:rsidRDefault="00777A59" w:rsidP="00610B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777A59" w:rsidRDefault="00777A59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777A59" w:rsidRDefault="00777A59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77A59" w:rsidRDefault="00777A59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инвесторы: </w:t>
      </w:r>
    </w:p>
    <w:p w:rsidR="00777A59" w:rsidRDefault="00777A59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3.1. </w:t>
      </w:r>
      <w:r>
        <w:rPr>
          <w:rFonts w:ascii="Roboto Condensed" w:hAnsi="Roboto Condensed"/>
          <w:color w:val="000000"/>
          <w:sz w:val="30"/>
          <w:szCs w:val="30"/>
        </w:rPr>
        <w:t>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</w:t>
      </w:r>
      <w:r>
        <w:rPr>
          <w:color w:val="000000"/>
          <w:sz w:val="30"/>
          <w:szCs w:val="30"/>
        </w:rPr>
        <w:t>;</w:t>
      </w:r>
    </w:p>
    <w:p w:rsidR="00777A59" w:rsidRDefault="00777A59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 не имеющие статуса юридического лица объединения юридических лиц, государственные органы, органы местного самоуправления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777A59" w:rsidRDefault="00777A59" w:rsidP="0063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34EBC">
        <w:rPr>
          <w:rFonts w:ascii="Times New Roman" w:hAnsi="Times New Roman"/>
          <w:color w:val="000000"/>
          <w:sz w:val="30"/>
          <w:szCs w:val="30"/>
        </w:rPr>
        <w:t>5. подрядчики -</w:t>
      </w:r>
      <w:r>
        <w:rPr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6" w:history="1">
        <w:r>
          <w:rPr>
            <w:rFonts w:ascii="Times New Roman" w:hAnsi="Times New Roman"/>
            <w:color w:val="0000FF"/>
            <w:sz w:val="30"/>
            <w:szCs w:val="30"/>
            <w:lang w:eastAsia="ru-RU"/>
          </w:rPr>
          <w:t>кодексом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7" w:history="1">
        <w:r>
          <w:rPr>
            <w:rFonts w:ascii="Times New Roman" w:hAnsi="Times New Roman"/>
            <w:color w:val="0000FF"/>
            <w:sz w:val="30"/>
            <w:szCs w:val="30"/>
            <w:lang w:eastAsia="ru-RU"/>
          </w:rPr>
          <w:t>законом</w:t>
        </w:r>
      </w:hyperlink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777A59" w:rsidRPr="00D11E48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1.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Default="00777A59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777A59" w:rsidRDefault="00777A59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A59" w:rsidRDefault="00777A59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A59" w:rsidRDefault="00777A59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777A59" w:rsidRDefault="00777A59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777A59" w:rsidRDefault="00777A59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равноправия инвесторов  и унифицированности публичных процедур;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777A59" w:rsidRDefault="00777A59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 и прозрачности инвестиционного процесса в Тулунском  районе.</w:t>
      </w:r>
    </w:p>
    <w:p w:rsidR="00777A59" w:rsidRDefault="00777A59" w:rsidP="008B1D5C">
      <w:pPr>
        <w:pStyle w:val="NormalWeb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777A59" w:rsidRDefault="00777A59" w:rsidP="00E04A9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5.1. Инвестиционная деятельность может осуществляться в следующих формах:</w:t>
      </w: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777A59" w:rsidRDefault="00777A59" w:rsidP="001330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установления субъектам инвестиционной деятельности льгот по уплате местных налогов;</w:t>
      </w:r>
    </w:p>
    <w:p w:rsidR="00777A59" w:rsidRDefault="00777A59" w:rsidP="001330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защиты интересов инвесторов;</w:t>
      </w:r>
    </w:p>
    <w:p w:rsidR="00777A59" w:rsidRDefault="00777A59" w:rsidP="001330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предоставления субъектам  инвестиционной деятельности не противоречащих законодательству 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777A59" w:rsidRDefault="00777A59" w:rsidP="001330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расширение использования 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777A59" w:rsidRDefault="00777A59" w:rsidP="00E04A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прямое участие Тулунского муниципального района в инвестиционной деятельности, осуществляемой в форме капитальных вложений, путем:</w:t>
      </w:r>
    </w:p>
    <w:p w:rsidR="00777A59" w:rsidRDefault="00777A59" w:rsidP="00E04A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разработки, утверждения и финансирования инвестиционных проектов, осуществляемых Тулунским муниципальным районом;</w:t>
      </w:r>
    </w:p>
    <w:p w:rsidR="00777A59" w:rsidRDefault="00777A59" w:rsidP="00E04A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777A59" w:rsidRDefault="00777A59" w:rsidP="00E04A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выпуска муниципальных займов в соответствии с законодательством Российской Федерации;</w:t>
      </w:r>
    </w:p>
    <w:p w:rsidR="00777A59" w:rsidRPr="00E04A9A" w:rsidRDefault="00777A59" w:rsidP="00E04A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Тулунского района. </w:t>
      </w:r>
    </w:p>
    <w:p w:rsidR="00777A59" w:rsidRPr="0022254C" w:rsidRDefault="00777A59" w:rsidP="00461A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>
        <w:rPr>
          <w:color w:val="000000"/>
          <w:sz w:val="30"/>
          <w:szCs w:val="30"/>
        </w:rPr>
        <w:t>Тулунского муниципального района.</w:t>
      </w:r>
    </w:p>
    <w:p w:rsidR="00777A59" w:rsidRPr="00456BE1" w:rsidRDefault="00777A59" w:rsidP="00456BE1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Инвесторы имеют равные права на осуществление инвестиционной деятельности на территории </w:t>
      </w:r>
      <w:r>
        <w:rPr>
          <w:color w:val="000000"/>
          <w:sz w:val="30"/>
          <w:szCs w:val="30"/>
        </w:rPr>
        <w:t>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</w:t>
      </w:r>
      <w:r>
        <w:rPr>
          <w:color w:val="000000"/>
          <w:sz w:val="30"/>
          <w:szCs w:val="30"/>
        </w:rPr>
        <w:t>, находящихся в</w:t>
      </w:r>
      <w:r>
        <w:rPr>
          <w:rFonts w:ascii="Roboto Condensed" w:hAnsi="Roboto Condensed"/>
          <w:color w:val="000000"/>
          <w:sz w:val="30"/>
          <w:szCs w:val="30"/>
        </w:rPr>
        <w:t xml:space="preserve">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нормативных правовых актов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777A59" w:rsidRDefault="00777A59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>Тулунского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77A59" w:rsidRPr="0022254C" w:rsidRDefault="00777A59" w:rsidP="00456BE1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 ТУЛУНСКОГО МУНИЦИПАЛЬНОГО РАЙОНА: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>я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 пределах компетенции, установленной нормативными актами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осуществлять контроль за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Тулунского района.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>я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777A59" w:rsidRPr="0004180F" w:rsidRDefault="00777A59" w:rsidP="0004180F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777A59" w:rsidRPr="0022254C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color w:val="000000"/>
          <w:sz w:val="30"/>
          <w:szCs w:val="30"/>
        </w:rPr>
        <w:t>Тулунского муниципального района.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и нормативными актами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777A59" w:rsidRPr="0022254C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>
        <w:rPr>
          <w:color w:val="000000"/>
          <w:sz w:val="30"/>
          <w:szCs w:val="30"/>
        </w:rPr>
        <w:t>Тулунского муниципального района;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777A59" w:rsidRDefault="00777A59" w:rsidP="0004180F">
      <w:pPr>
        <w:pStyle w:val="NormalWeb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777A59" w:rsidRPr="0022254C" w:rsidRDefault="00777A59" w:rsidP="0004180F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 ТУЛУНСКОГО МУНИЦИПАЛЬНОГО РАЙОНА: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>я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>я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>
        <w:rPr>
          <w:color w:val="000000"/>
          <w:sz w:val="30"/>
          <w:szCs w:val="30"/>
        </w:rPr>
        <w:t>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777A59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>я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777A59" w:rsidRPr="0022254C" w:rsidRDefault="00777A59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Тулунского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муниципального района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>
        <w:rPr>
          <w:color w:val="000000"/>
          <w:sz w:val="30"/>
          <w:szCs w:val="30"/>
        </w:rPr>
        <w:t>Тулунского муниципального района.</w:t>
      </w:r>
    </w:p>
    <w:p w:rsidR="00777A59" w:rsidRDefault="00777A59" w:rsidP="0004180F">
      <w:pPr>
        <w:pStyle w:val="NormalWeb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>НВЕСТИЦИОННЫЙ ПРОЕКТЫ, РЕАЛИЗУЕМЫЕ НА ТЕРРИТОРИИ  ТУЛУНСКОГО МУНИЦИПАЛЬНОГО РАЙОНА</w:t>
      </w:r>
    </w:p>
    <w:p w:rsidR="00777A59" w:rsidRDefault="00777A59" w:rsidP="00E03BA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777A59" w:rsidRDefault="00777A59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>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Pr="00E03BAF" w:rsidRDefault="00777A59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>и Тулунского муниципального района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777A59" w:rsidRDefault="00777A59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заявление инвестора  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поквартальный график вложения инвестиций  с соответствующим графиком ввода объектов;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777A59" w:rsidRDefault="00777A59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777A59" w:rsidRDefault="00777A59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администрация Тулунского муниципального района вправе запросить дополнительные документы:</w:t>
      </w:r>
    </w:p>
    <w:p w:rsidR="00777A59" w:rsidRDefault="00777A59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777A59" w:rsidRDefault="00777A59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777A59" w:rsidRPr="000E74C4" w:rsidRDefault="00777A59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</w:t>
      </w:r>
      <w:r>
        <w:rPr>
          <w:color w:val="000000"/>
          <w:sz w:val="30"/>
          <w:szCs w:val="30"/>
        </w:rPr>
        <w:t>;</w:t>
      </w:r>
    </w:p>
    <w:p w:rsidR="00777A59" w:rsidRPr="00032ED7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стабильность прав субъектов инвестиционной деятельности.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>
        <w:rPr>
          <w:color w:val="000000"/>
          <w:sz w:val="30"/>
          <w:szCs w:val="30"/>
        </w:rPr>
        <w:t xml:space="preserve">Тулунского муниципального района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777A59" w:rsidRPr="0092596D" w:rsidRDefault="00777A59" w:rsidP="000E74C4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>ИНВЕСТИЦИОННЫЙ ДОГОВОР МЕЖДУ АДМИНИСТРАЦИЕЙ ТУЛУНСКОГО МУНИЦИПАЛЬНОГО РАЙОНА И СУБЪЕКТОМ ИНВЕСТИЦИОННОЙ ДЕЯТЕЛЬНОСТИ: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777A59" w:rsidRDefault="00777A59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>
        <w:rPr>
          <w:color w:val="000000"/>
          <w:sz w:val="30"/>
          <w:szCs w:val="30"/>
        </w:rPr>
        <w:t>Администрацией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>Думы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>Думой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Администрация </w:t>
      </w:r>
      <w:r>
        <w:rPr>
          <w:color w:val="000000"/>
          <w:sz w:val="30"/>
          <w:szCs w:val="30"/>
        </w:rPr>
        <w:t>Тулунского муниципального района 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контроля за ходом реализации инвестиционного проекта, ежегодно направляет в </w:t>
      </w:r>
      <w:r>
        <w:rPr>
          <w:color w:val="000000"/>
          <w:sz w:val="30"/>
          <w:szCs w:val="30"/>
        </w:rPr>
        <w:t>Думу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отчет о ходе реализации заключенных инвестиционных договоров.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иные значимые для экономики </w:t>
      </w:r>
      <w:r>
        <w:rPr>
          <w:color w:val="000000"/>
          <w:sz w:val="30"/>
          <w:szCs w:val="30"/>
        </w:rPr>
        <w:t xml:space="preserve"> Тулунского района </w:t>
      </w:r>
      <w:r>
        <w:rPr>
          <w:rFonts w:ascii="Roboto Condensed" w:hAnsi="Roboto Condensed"/>
          <w:color w:val="000000"/>
          <w:sz w:val="30"/>
          <w:szCs w:val="30"/>
        </w:rPr>
        <w:t>условия.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777A59" w:rsidRPr="00F668C7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777A59" w:rsidRPr="00FD54A0" w:rsidRDefault="00777A59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Муниципальная поддержка инвестиционной деятельности на территории </w:t>
      </w:r>
      <w:r>
        <w:rPr>
          <w:color w:val="000000"/>
          <w:sz w:val="30"/>
          <w:szCs w:val="30"/>
        </w:rPr>
        <w:t>Тулунского 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осуществляется в форме</w:t>
      </w:r>
      <w:r>
        <w:rPr>
          <w:color w:val="000000"/>
          <w:sz w:val="30"/>
          <w:szCs w:val="30"/>
        </w:rPr>
        <w:t xml:space="preserve"> капитальных вложений.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Администрация Тулунского муниципального района предоставляет на конкурсной основе муниципальные гарантии по инвестиционным проектам за счет средств местного бюджета. 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Расходы на финансирование инвестиционной деятельности, осуществляемой в форме капитальных вложений администрацией Тулунского муниципального района предусматриваются в местном бюджете.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В случае участия администрации Тулунского муниципального района  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  осуществляются по согласованию с администрацией Тулунского муниципального района.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При осуществлении инвестиционной деятельности администрация Тулунского муниципального района вправе взаимодействовать  с органами местного самоуправления других муниципальных образований,  в том числе путем объединения собственных и привлеченных средств на основании договора  между ними и в соответствии с законодательством Российской Федерации.</w:t>
      </w:r>
    </w:p>
    <w:p w:rsidR="00777A59" w:rsidRPr="004C5A50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Регулирование администрацией Тулунского муниципального района 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777A59" w:rsidRPr="00FD54A0" w:rsidRDefault="00777A59" w:rsidP="00FD54A0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777A59" w:rsidRDefault="00777A59" w:rsidP="00FD54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>
        <w:rPr>
          <w:color w:val="000000"/>
          <w:sz w:val="30"/>
          <w:szCs w:val="30"/>
        </w:rPr>
        <w:t>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777A59" w:rsidRDefault="00777A59" w:rsidP="00456BE1"/>
    <w:p w:rsidR="00777A59" w:rsidRDefault="00777A59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77A59" w:rsidRDefault="00777A59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77A59" w:rsidRDefault="00777A59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77A59" w:rsidRDefault="00777A59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77A59" w:rsidRDefault="00777A59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77A59" w:rsidRPr="006A0767" w:rsidRDefault="00777A59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77A59" w:rsidRPr="001E7569" w:rsidRDefault="00777A59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777A59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D7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036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00F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F18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4EF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6EFA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52DD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177A0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503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0933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5A5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16DF5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3819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4EBC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A59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6537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11F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149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A1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14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1F6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D3B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4A9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12E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57D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9829635EC6D0FEA370972AFF6549FF662BBFC178797BCA4F5672F70P4Z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9829635EC6D0FEA370972AFF6549FF56BBFFD1F8797BCA4F5672F704A8107488DB710A77A08FEP5Z9D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3420</Words>
  <Characters>19498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econom_sp</cp:lastModifiedBy>
  <cp:revision>3</cp:revision>
  <cp:lastPrinted>2018-08-23T07:12:00Z</cp:lastPrinted>
  <dcterms:created xsi:type="dcterms:W3CDTF">2018-10-22T08:24:00Z</dcterms:created>
  <dcterms:modified xsi:type="dcterms:W3CDTF">2018-10-22T08:29:00Z</dcterms:modified>
</cp:coreProperties>
</file>